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15" w:rsidRPr="00870215" w:rsidRDefault="00870215" w:rsidP="00870215">
      <w:pPr>
        <w:pStyle w:val="NormalWeb"/>
        <w:spacing w:before="0" w:beforeAutospacing="0" w:after="0" w:afterAutospacing="0"/>
        <w:jc w:val="center"/>
      </w:pPr>
      <w:r w:rsidRPr="00870215">
        <w:rPr>
          <w:rFonts w:ascii="Georgia" w:hAnsi="Georgia"/>
          <w:b/>
          <w:bCs/>
          <w:sz w:val="27"/>
          <w:szCs w:val="27"/>
        </w:rPr>
        <w:t>“MEET THE PV MARKET!”</w:t>
      </w:r>
    </w:p>
    <w:p w:rsidR="00870215" w:rsidRPr="00870215" w:rsidRDefault="00870215" w:rsidP="00870215">
      <w:pPr>
        <w:pStyle w:val="NormalWeb"/>
        <w:spacing w:before="0" w:beforeAutospacing="0" w:after="0" w:afterAutospacing="0"/>
        <w:jc w:val="center"/>
      </w:pPr>
      <w:r w:rsidRPr="00870215">
        <w:rPr>
          <w:rFonts w:ascii="Georgia" w:hAnsi="Georgia"/>
          <w:b/>
          <w:bCs/>
          <w:sz w:val="27"/>
          <w:szCs w:val="27"/>
        </w:rPr>
        <w:t>November 19-20, 2012</w:t>
      </w:r>
    </w:p>
    <w:p w:rsidR="004202D9" w:rsidRPr="00870215" w:rsidRDefault="00870215" w:rsidP="00870215">
      <w:pPr>
        <w:jc w:val="center"/>
        <w:rPr>
          <w:rFonts w:ascii="Georgia" w:hAnsi="Georgia"/>
          <w:sz w:val="27"/>
          <w:szCs w:val="27"/>
        </w:rPr>
      </w:pPr>
      <w:r w:rsidRPr="00870215">
        <w:rPr>
          <w:rFonts w:ascii="Georgia" w:hAnsi="Georgia"/>
          <w:sz w:val="27"/>
          <w:szCs w:val="27"/>
        </w:rPr>
        <w:t>Largest PV Conference &amp; Networking Fair in Romania</w:t>
      </w:r>
    </w:p>
    <w:p w:rsidR="00870215" w:rsidRDefault="00870215" w:rsidP="00870215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0"/>
          <w:szCs w:val="20"/>
        </w:rPr>
      </w:pPr>
      <w:r w:rsidRPr="00870215">
        <w:rPr>
          <w:rFonts w:ascii="Trebuchet MS" w:hAnsi="Trebuchet MS"/>
          <w:b/>
          <w:bCs/>
          <w:sz w:val="20"/>
          <w:szCs w:val="20"/>
        </w:rPr>
        <w:t>CONFERENCE AGENDA</w:t>
      </w:r>
      <w:r w:rsidRPr="00870215">
        <w:rPr>
          <w:rFonts w:ascii="Trebuchet MS" w:hAnsi="Trebuchet MS"/>
          <w:sz w:val="20"/>
          <w:szCs w:val="20"/>
        </w:rPr>
        <w:br/>
      </w:r>
    </w:p>
    <w:p w:rsidR="00870215" w:rsidRPr="00870215" w:rsidRDefault="00870215" w:rsidP="00870215">
      <w:pPr>
        <w:pStyle w:val="NormalWeb"/>
        <w:spacing w:before="0" w:beforeAutospacing="0" w:after="0" w:afterAutospacing="0"/>
      </w:pPr>
      <w:r w:rsidRPr="00870215">
        <w:rPr>
          <w:rFonts w:ascii="Trebuchet MS" w:hAnsi="Trebuchet MS"/>
          <w:b/>
          <w:bCs/>
          <w:sz w:val="20"/>
          <w:szCs w:val="20"/>
          <w:highlight w:val="lightGray"/>
        </w:rPr>
        <w:t>Day 1, 19th of November</w:t>
      </w:r>
      <w:bookmarkStart w:id="0" w:name="_GoBack"/>
      <w:bookmarkEnd w:id="0"/>
    </w:p>
    <w:p w:rsidR="00870215" w:rsidRPr="00870215" w:rsidRDefault="00870215" w:rsidP="00870215">
      <w:pPr>
        <w:pStyle w:val="NormalWeb"/>
        <w:spacing w:before="0" w:beforeAutospacing="0" w:after="0" w:afterAutospacing="0"/>
      </w:pPr>
      <w:r w:rsidRPr="00870215">
        <w:t> </w:t>
      </w:r>
    </w:p>
    <w:p w:rsidR="00870215" w:rsidRPr="00870215" w:rsidRDefault="00870215" w:rsidP="00870215"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8:30 AM - 9:00 AM - Welcome coffee and delegates registration</w:t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9:00 AM - 11:00 AM Section 1 – Regulatory and Political Environment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 Governmental views on the PV industry in Romania – what to expect in 2013?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The future of PV energy in Romania (projects under construction, reduction of green certificates</w:t>
      </w:r>
      <w:proofErr w:type="gramStart"/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)</w:t>
      </w:r>
      <w:proofErr w:type="gramEnd"/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Authorizations conditions and requirements for PV projects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11:00 AM - 11:15 AM - Coffee Break</w:t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 xml:space="preserve">        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11:15AM – 12:30 PM - Section 2 – Permitting and Tax Aspects of PV Projects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Tax issues related to PV projects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Role of tax incentives in PV projects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Permits and licensing for PV projects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The Real Estate Side of PV Parks: Superficies or Ownership?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 xml:space="preserve">- What you need to know for a successful PV investment in Romania    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 xml:space="preserve">12:30 PM - 01:30 PM - Networking lunch        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1:30 PM – 2:30 PM - Section 3 – Financial issues and banks procedures</w:t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 xml:space="preserve"> 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Projects Development and Financing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What projects fails for financing and why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Project Finance and Analysis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Financing Innovative Initiatives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02:30 PM- 2:45 PM - Coffee Break</w:t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 xml:space="preserve">        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 xml:space="preserve">2:45 PM – 4:00 PM - Section 4 – International Experience  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China vs. EU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 xml:space="preserve">- Business models from other markets    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  <w:highlight w:val="lightGray"/>
        </w:rPr>
        <w:t>Day 2 – 20 November 2012</w:t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 xml:space="preserve">8:30 AM - 9:00 AM - Welcome coffee and delegates registration        </w:t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9:00 AM – 10:00 AM Section 1 – Engineering and Installers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Project Management Systems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Importance of feasibility studies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 xml:space="preserve">- Solar Resource </w:t>
      </w:r>
      <w:proofErr w:type="spellStart"/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Assesment</w:t>
      </w:r>
      <w:proofErr w:type="spellEnd"/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 xml:space="preserve"> - Dealing with the uncertainty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Photovoltaic Power Plant Development and Grid Connection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lastRenderedPageBreak/>
        <w:t>10:00 AM – 11:00 AM Section 2 – Constructors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 xml:space="preserve">- Build projects - learning from experience; 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Case studies of local implementation - success stories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 xml:space="preserve">11:00 - 11:20 - Coffee Break        </w:t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11:20 AM – 12:30 Section 3 – Equipment Suppliers and EPC</w:t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EPC practical issues: key elements/ types of EPC contracts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Optimizing technologies and implementations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12:30 PM - 2:00 PM - Networking lunch</w:t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 xml:space="preserve">        </w:t>
      </w:r>
      <w:r w:rsidRPr="00870215">
        <w:rPr>
          <w:rFonts w:ascii="Trebuchet MS" w:eastAsia="Times New Roman" w:hAnsi="Trebuchet MS"/>
          <w:b/>
          <w:bCs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b/>
          <w:bCs/>
          <w:sz w:val="20"/>
          <w:szCs w:val="20"/>
        </w:rPr>
        <w:t>2:00 PM - 3:00 PM Section 4 – Investors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Projects to go - expectations of investors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What projects are attractive to Romanian PV industry</w:t>
      </w:r>
      <w:r w:rsidRPr="00870215">
        <w:rPr>
          <w:rFonts w:ascii="Trebuchet MS" w:eastAsia="Times New Roman" w:hAnsi="Trebuchet MS"/>
          <w:sz w:val="20"/>
          <w:szCs w:val="20"/>
        </w:rPr>
        <w:br/>
      </w:r>
      <w:r w:rsidRPr="00870215">
        <w:rPr>
          <w:rStyle w:val="contenteditable"/>
          <w:rFonts w:ascii="Trebuchet MS" w:eastAsia="Times New Roman" w:hAnsi="Trebuchet MS"/>
          <w:sz w:val="20"/>
          <w:szCs w:val="20"/>
        </w:rPr>
        <w:t>- Which are the characteristic of developing a successful PV project in Romania</w:t>
      </w:r>
    </w:p>
    <w:sectPr w:rsidR="00870215" w:rsidRPr="00870215" w:rsidSect="00870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15"/>
    <w:rsid w:val="004202D9"/>
    <w:rsid w:val="008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tenteditable">
    <w:name w:val="content_editable"/>
    <w:basedOn w:val="DefaultParagraphFont"/>
    <w:rsid w:val="00870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2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tenteditable">
    <w:name w:val="content_editable"/>
    <w:basedOn w:val="DefaultParagraphFont"/>
    <w:rsid w:val="0087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Norica Sandulescu</dc:creator>
  <cp:keywords/>
  <dc:description/>
  <cp:lastModifiedBy>Norica Sandulescu</cp:lastModifiedBy>
  <cp:revision>1</cp:revision>
  <dcterms:created xsi:type="dcterms:W3CDTF">2015-03-16T12:08:00Z</dcterms:created>
  <dcterms:modified xsi:type="dcterms:W3CDTF">2015-03-16T12:11:00Z</dcterms:modified>
</cp:coreProperties>
</file>